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Pr="00F430DE" w:rsidRDefault="008170A8" w:rsidP="00DC4439">
      <w:pPr>
        <w:jc w:val="both"/>
        <w:rPr>
          <w:b/>
        </w:rPr>
      </w:pPr>
      <w:r w:rsidRPr="00F430DE">
        <w:rPr>
          <w:b/>
        </w:rPr>
        <w:t>01.07.2016 г.</w:t>
      </w:r>
      <w:r w:rsidR="00F430DE" w:rsidRPr="00F430DE">
        <w:rPr>
          <w:b/>
        </w:rPr>
        <w:t xml:space="preserve"> Гарантийный фонд помог московскому малому бизнесу привлечь в банках около 3 </w:t>
      </w:r>
      <w:proofErr w:type="gramStart"/>
      <w:r w:rsidR="00F430DE" w:rsidRPr="00F430DE">
        <w:rPr>
          <w:b/>
        </w:rPr>
        <w:t>млрд</w:t>
      </w:r>
      <w:proofErr w:type="gramEnd"/>
      <w:r w:rsidR="00F430DE" w:rsidRPr="00F430DE">
        <w:rPr>
          <w:b/>
        </w:rPr>
        <w:t xml:space="preserve"> рублей  в 1 полугодии 2016 г. </w:t>
      </w:r>
    </w:p>
    <w:p w:rsidR="00304421" w:rsidRDefault="008170A8" w:rsidP="00DC4439">
      <w:pPr>
        <w:jc w:val="both"/>
      </w:pPr>
      <w:r>
        <w:t xml:space="preserve">Фонд содействия кредитованию малого бизнеса Москвы подвел итоги первого полугодия 2016 г. За первые шесть месяцев Фонд выдал 261 поручительство на сумму 1,3 </w:t>
      </w:r>
      <w:proofErr w:type="gramStart"/>
      <w:r>
        <w:t>млрд</w:t>
      </w:r>
      <w:proofErr w:type="gramEnd"/>
      <w:r>
        <w:t xml:space="preserve"> рублей. В результате гарантийной поддержки московские компании малого и среднего бизнеса смогли оформить в банках кредиты и гарантии на сумму 2,7 </w:t>
      </w:r>
      <w:proofErr w:type="gramStart"/>
      <w:r>
        <w:t>млрд</w:t>
      </w:r>
      <w:proofErr w:type="gramEnd"/>
      <w:r>
        <w:t xml:space="preserve"> рублей. </w:t>
      </w:r>
      <w:r w:rsidR="00304421">
        <w:t xml:space="preserve"> </w:t>
      </w:r>
    </w:p>
    <w:p w:rsidR="008170A8" w:rsidRDefault="00304421" w:rsidP="00DC4439">
      <w:pPr>
        <w:jc w:val="both"/>
      </w:pPr>
      <w:r>
        <w:t xml:space="preserve">Исполнительный директор Фонда Антон </w:t>
      </w:r>
      <w:proofErr w:type="spellStart"/>
      <w:r>
        <w:t>Купринов</w:t>
      </w:r>
      <w:proofErr w:type="spellEnd"/>
      <w:r>
        <w:t xml:space="preserve"> так комментирует ситуацию: </w:t>
      </w:r>
      <w:r w:rsidRPr="00F430DE">
        <w:rPr>
          <w:i/>
        </w:rPr>
        <w:t>«</w:t>
      </w:r>
      <w:r w:rsidR="008170A8" w:rsidRPr="00F430DE">
        <w:rPr>
          <w:i/>
        </w:rPr>
        <w:t>Результат</w:t>
      </w:r>
      <w:r w:rsidRPr="00F430DE">
        <w:rPr>
          <w:i/>
        </w:rPr>
        <w:t>ами</w:t>
      </w:r>
      <w:r w:rsidR="008170A8" w:rsidRPr="00F430DE">
        <w:rPr>
          <w:i/>
        </w:rPr>
        <w:t xml:space="preserve"> 1-го полугодия текущего года </w:t>
      </w:r>
      <w:r w:rsidRPr="00F430DE">
        <w:rPr>
          <w:i/>
        </w:rPr>
        <w:t xml:space="preserve">мы довольны. </w:t>
      </w:r>
      <w:r w:rsidR="001C3628">
        <w:rPr>
          <w:i/>
        </w:rPr>
        <w:t xml:space="preserve">Рост к аналогичному периоду прошлого года составил </w:t>
      </w:r>
      <w:r w:rsidR="00EE1B37">
        <w:rPr>
          <w:i/>
        </w:rPr>
        <w:t>1</w:t>
      </w:r>
      <w:r w:rsidR="001C3628">
        <w:rPr>
          <w:i/>
        </w:rPr>
        <w:t>9</w:t>
      </w:r>
      <w:r w:rsidR="00EE1B37">
        <w:rPr>
          <w:i/>
        </w:rPr>
        <w:t>%</w:t>
      </w:r>
      <w:bookmarkStart w:id="0" w:name="_GoBack"/>
      <w:bookmarkEnd w:id="0"/>
      <w:r w:rsidR="008170A8" w:rsidRPr="00F430DE">
        <w:rPr>
          <w:i/>
        </w:rPr>
        <w:t xml:space="preserve">, тогда Фонд выдал поручительства </w:t>
      </w:r>
      <w:r w:rsidRPr="00F430DE">
        <w:rPr>
          <w:i/>
        </w:rPr>
        <w:t>на</w:t>
      </w:r>
      <w:r w:rsidR="008170A8" w:rsidRPr="00F430DE">
        <w:rPr>
          <w:i/>
        </w:rPr>
        <w:t xml:space="preserve"> 1,1 млрд рублей, а </w:t>
      </w:r>
      <w:r w:rsidRPr="00F430DE">
        <w:rPr>
          <w:i/>
        </w:rPr>
        <w:t xml:space="preserve">наши клиенты </w:t>
      </w:r>
      <w:r w:rsidR="008170A8" w:rsidRPr="00F430DE">
        <w:rPr>
          <w:i/>
        </w:rPr>
        <w:t xml:space="preserve">получили в банках 2,5 млрд рублей кредитов и гарантий.  </w:t>
      </w:r>
      <w:r w:rsidR="00DC4439">
        <w:rPr>
          <w:i/>
        </w:rPr>
        <w:t xml:space="preserve">Банки относят кредиты МСБ к высоко рискованным  операциям. </w:t>
      </w:r>
      <w:r w:rsidR="008F59D3" w:rsidRPr="00F430DE">
        <w:rPr>
          <w:i/>
        </w:rPr>
        <w:t xml:space="preserve">К сожалению, рынок кредитования МСБ </w:t>
      </w:r>
      <w:r w:rsidR="00807363">
        <w:rPr>
          <w:i/>
        </w:rPr>
        <w:t>в Москве просел глубже, чем по РФ в целом, но мы видим первые признаки восстановления</w:t>
      </w:r>
      <w:r w:rsidR="00DC4439">
        <w:rPr>
          <w:i/>
        </w:rPr>
        <w:t xml:space="preserve">. </w:t>
      </w:r>
      <w:r w:rsidR="00DC4439" w:rsidRPr="00F430DE">
        <w:rPr>
          <w:i/>
        </w:rPr>
        <w:t xml:space="preserve">Поручительства фонда снижают для банков риски кредитования </w:t>
      </w:r>
      <w:r w:rsidR="00DC4439">
        <w:rPr>
          <w:i/>
        </w:rPr>
        <w:t>МСБ. Б</w:t>
      </w:r>
      <w:r w:rsidR="00DC4439" w:rsidRPr="00F430DE">
        <w:rPr>
          <w:i/>
        </w:rPr>
        <w:t>ез поддержки Фонда подавляющему  большинству этих клиентов банки</w:t>
      </w:r>
      <w:r w:rsidR="00DC4439">
        <w:rPr>
          <w:i/>
        </w:rPr>
        <w:t>, скорее всего,</w:t>
      </w:r>
      <w:r w:rsidR="00DC4439" w:rsidRPr="00F430DE">
        <w:rPr>
          <w:i/>
        </w:rPr>
        <w:t xml:space="preserve"> воо</w:t>
      </w:r>
      <w:r w:rsidR="00DC4439">
        <w:rPr>
          <w:i/>
        </w:rPr>
        <w:t>бще бы отказали в финансировании</w:t>
      </w:r>
      <w:r w:rsidRPr="00F430DE">
        <w:rPr>
          <w:i/>
        </w:rPr>
        <w:t>»</w:t>
      </w:r>
      <w:r>
        <w:t>.</w:t>
      </w:r>
    </w:p>
    <w:p w:rsidR="008F59D3" w:rsidRDefault="008F59D3" w:rsidP="003B0290">
      <w:pPr>
        <w:pStyle w:val="a5"/>
      </w:pPr>
      <w:r>
        <w:rPr>
          <w:noProof/>
          <w:lang w:eastAsia="ru-RU"/>
        </w:rPr>
        <w:drawing>
          <wp:inline distT="0" distB="0" distL="0" distR="0" wp14:anchorId="30E4E512" wp14:editId="5834A6D3">
            <wp:extent cx="3448050" cy="21907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6D2A" w:rsidRDefault="00ED6D2A" w:rsidP="003B0290">
      <w:pPr>
        <w:pStyle w:val="a5"/>
      </w:pPr>
    </w:p>
    <w:p w:rsidR="00F430DE" w:rsidRDefault="00304421" w:rsidP="00DC4439">
      <w:pPr>
        <w:jc w:val="both"/>
      </w:pPr>
      <w:r>
        <w:t xml:space="preserve">Особое внимание Фонд уделяет работе с компаниями, заключающими контракты в рамках 44 и 223ФЗ, так называемый, госзаказ. Сегодня 27% поручительств Фонд  выдает </w:t>
      </w:r>
      <w:r w:rsidR="0010324A">
        <w:t>именно для таких компаний (для сравнения в 2014 г. - 9%)</w:t>
      </w:r>
      <w:r w:rsidR="00CC599D">
        <w:t xml:space="preserve">. </w:t>
      </w:r>
    </w:p>
    <w:p w:rsidR="00DC4439" w:rsidRDefault="00DC4439" w:rsidP="00DC4439">
      <w:pPr>
        <w:jc w:val="both"/>
      </w:pPr>
      <w:r w:rsidRPr="00CC599D">
        <w:rPr>
          <w:noProof/>
          <w:sz w:val="20"/>
          <w:szCs w:val="20"/>
          <w:lang w:eastAsia="ru-RU"/>
        </w:rPr>
        <w:drawing>
          <wp:inline distT="0" distB="0" distL="0" distR="0" wp14:anchorId="4BFEBD50" wp14:editId="06B196D5">
            <wp:extent cx="2790825" cy="26479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C443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F42B04" wp14:editId="632316C9">
            <wp:extent cx="2933700" cy="26479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30DE" w:rsidRDefault="00CC599D" w:rsidP="00DC4439">
      <w:pPr>
        <w:jc w:val="both"/>
        <w:rPr>
          <w:i/>
        </w:rPr>
      </w:pPr>
      <w:r>
        <w:t xml:space="preserve">Также Фонд </w:t>
      </w:r>
      <w:r w:rsidR="00E0400B">
        <w:t>активно помогает</w:t>
      </w:r>
      <w:r>
        <w:t xml:space="preserve"> компания</w:t>
      </w:r>
      <w:r w:rsidR="00E0400B">
        <w:t>м</w:t>
      </w:r>
      <w:r>
        <w:t xml:space="preserve"> из приоритетных для Москвы отраслей – производство, строительство, инновации,  на них </w:t>
      </w:r>
      <w:r w:rsidR="008F59D3">
        <w:t>суммарно</w:t>
      </w:r>
      <w:r w:rsidR="00DC4439">
        <w:t xml:space="preserve"> </w:t>
      </w:r>
      <w:r w:rsidR="00DC4439">
        <w:t>приходится</w:t>
      </w:r>
      <w:r w:rsidR="008F59D3">
        <w:t xml:space="preserve"> </w:t>
      </w:r>
      <w:r>
        <w:t>треть в отраслевой структуре поручительств.</w:t>
      </w:r>
      <w:r w:rsidR="00F430DE">
        <w:t xml:space="preserve"> </w:t>
      </w:r>
      <w:r w:rsidR="00DC4439">
        <w:t xml:space="preserve"> </w:t>
      </w:r>
      <w:r w:rsidR="00F430DE">
        <w:t>«</w:t>
      </w:r>
      <w:r w:rsidR="00F430DE" w:rsidRPr="00F430DE">
        <w:rPr>
          <w:i/>
        </w:rPr>
        <w:t>Спектр бизнес-интересов наших клиентов весьма широк. Так,</w:t>
      </w:r>
      <w:r w:rsidR="00F430DE">
        <w:t xml:space="preserve"> с</w:t>
      </w:r>
      <w:r w:rsidR="00F430DE">
        <w:rPr>
          <w:i/>
        </w:rPr>
        <w:t xml:space="preserve">реди клиентов, </w:t>
      </w:r>
      <w:r w:rsidR="00F430DE">
        <w:rPr>
          <w:i/>
        </w:rPr>
        <w:lastRenderedPageBreak/>
        <w:t xml:space="preserve">которым Фонд выдал поручительства в 1-м полугодии в наибольшем объеме </w:t>
      </w:r>
      <w:r w:rsidR="000B4D84">
        <w:rPr>
          <w:i/>
        </w:rPr>
        <w:t>(</w:t>
      </w:r>
      <w:r w:rsidR="00F430DE">
        <w:rPr>
          <w:i/>
        </w:rPr>
        <w:t xml:space="preserve">свыше 30 </w:t>
      </w:r>
      <w:proofErr w:type="gramStart"/>
      <w:r w:rsidR="00F430DE">
        <w:rPr>
          <w:i/>
        </w:rPr>
        <w:t>млн</w:t>
      </w:r>
      <w:proofErr w:type="gramEnd"/>
      <w:r w:rsidR="00F430DE">
        <w:rPr>
          <w:i/>
        </w:rPr>
        <w:t xml:space="preserve"> рублей</w:t>
      </w:r>
      <w:r w:rsidR="000B4D84">
        <w:rPr>
          <w:i/>
        </w:rPr>
        <w:t>)</w:t>
      </w:r>
      <w:r w:rsidR="00F430DE">
        <w:rPr>
          <w:i/>
        </w:rPr>
        <w:t xml:space="preserve"> </w:t>
      </w:r>
      <w:r w:rsidR="00F430DE">
        <w:rPr>
          <w:i/>
        </w:rPr>
        <w:t>оказались предприятия, работающие в пищевой отрасли – производител</w:t>
      </w:r>
      <w:r w:rsidR="000B4D84">
        <w:rPr>
          <w:i/>
        </w:rPr>
        <w:t>ь</w:t>
      </w:r>
      <w:r w:rsidR="00F430DE">
        <w:rPr>
          <w:i/>
        </w:rPr>
        <w:t xml:space="preserve">  консервированной овощной продукции и шоколадное производство,  в кожевенно-меховом производстве, производитель микроэлектроники из Зеленоградского высокотехнологичного кластера, компания занимающаяся геолого-проектными работами . Также совместные сделки с </w:t>
      </w:r>
      <w:proofErr w:type="spellStart"/>
      <w:r w:rsidR="00F430DE">
        <w:rPr>
          <w:i/>
        </w:rPr>
        <w:t>Госкорпорацией</w:t>
      </w:r>
      <w:proofErr w:type="spellEnd"/>
      <w:r w:rsidR="00F430DE">
        <w:rPr>
          <w:i/>
        </w:rPr>
        <w:t xml:space="preserve"> по поддержке МСП позволили </w:t>
      </w:r>
      <w:proofErr w:type="spellStart"/>
      <w:r w:rsidR="00F430DE">
        <w:rPr>
          <w:i/>
        </w:rPr>
        <w:t>прокредитовать</w:t>
      </w:r>
      <w:proofErr w:type="spellEnd"/>
      <w:r w:rsidR="00F430DE">
        <w:rPr>
          <w:i/>
        </w:rPr>
        <w:t xml:space="preserve"> поставщиков медпрепаратов и рыбной продукции</w:t>
      </w:r>
      <w:r w:rsidR="00F430DE">
        <w:rPr>
          <w:i/>
        </w:rPr>
        <w:t xml:space="preserve">», </w:t>
      </w:r>
      <w:r w:rsidR="00F430DE" w:rsidRPr="00DC4439">
        <w:t xml:space="preserve">- </w:t>
      </w:r>
      <w:r w:rsidR="000B4D84" w:rsidRPr="00DC4439">
        <w:t>уточняет ру</w:t>
      </w:r>
      <w:r w:rsidR="00F430DE" w:rsidRPr="00DC4439">
        <w:t>ководитель Фонда.</w:t>
      </w:r>
      <w:r w:rsidR="00F430DE">
        <w:rPr>
          <w:i/>
        </w:rPr>
        <w:t xml:space="preserve"> </w:t>
      </w:r>
    </w:p>
    <w:p w:rsidR="00B61154" w:rsidRDefault="00B61154" w:rsidP="00B61154">
      <w:r>
        <w:t xml:space="preserve">Среди </w:t>
      </w:r>
      <w:r>
        <w:t>поручительств</w:t>
      </w:r>
      <w:r>
        <w:t>,  выданных в первом полугодии 2016 г. , 64% приходится на договора со сроком  более года.</w:t>
      </w:r>
      <w:r w:rsidR="00C77F6C">
        <w:t xml:space="preserve"> </w:t>
      </w:r>
      <w:r>
        <w:t xml:space="preserve"> Значительная доля  договоров – 27% приходится на поручительства объемом свыше 25 млн рублей. </w:t>
      </w:r>
    </w:p>
    <w:p w:rsidR="00DC4439" w:rsidRDefault="00DC4439" w:rsidP="00DC4439">
      <w:pPr>
        <w:jc w:val="both"/>
      </w:pPr>
      <w:r>
        <w:rPr>
          <w:noProof/>
          <w:lang w:eastAsia="ru-RU"/>
        </w:rPr>
        <w:drawing>
          <wp:inline distT="0" distB="0" distL="0" distR="0" wp14:anchorId="004078E0" wp14:editId="4469E9F7">
            <wp:extent cx="3676650" cy="24669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400B" w:rsidRDefault="00E0400B" w:rsidP="00DC4439">
      <w:pPr>
        <w:jc w:val="both"/>
      </w:pPr>
      <w:r>
        <w:t>С Фондом работает более 40-ти банков-партнеров, и еще 13 банков присоединились к программе Фонда в 1-м полугодии 2016 г. «</w:t>
      </w:r>
      <w:r w:rsidR="00EE1B37">
        <w:t>Банки охотно работают с Фондом, ведь  поручительства снимают риски и делают кредитование МСБ безопасным</w:t>
      </w:r>
      <w:r>
        <w:t xml:space="preserve">. </w:t>
      </w:r>
      <w:r w:rsidR="00EE1B37">
        <w:t xml:space="preserve">В тоже время расширение числа партнеров делает доступнее поручительства для предпринимателей. </w:t>
      </w:r>
      <w:r>
        <w:t>Ведь именно банки принимают решение о финансировании и сами информируют клиента о возможности привлечения поручительства  фонда</w:t>
      </w:r>
      <w:r w:rsidR="00867A8D">
        <w:t xml:space="preserve">. </w:t>
      </w:r>
      <w:r w:rsidR="000128D2">
        <w:t xml:space="preserve"> </w:t>
      </w:r>
      <w:r w:rsidR="00867A8D">
        <w:t xml:space="preserve">По кредитам ведущие позиции, безусловно, у Сбербанка, группы ВТБ-Банк Москвы, Альфа-Банка, а по банковским гарантиям значительная доля приходится на Державу и </w:t>
      </w:r>
      <w:proofErr w:type="spellStart"/>
      <w:r w:rsidR="00867A8D">
        <w:t>Транскапиталбанк</w:t>
      </w:r>
      <w:proofErr w:type="spellEnd"/>
      <w:r w:rsidR="00867A8D">
        <w:t>, которые активно развивают этот инструмент</w:t>
      </w:r>
      <w:r>
        <w:t>»</w:t>
      </w:r>
      <w:r w:rsidR="00F430DE">
        <w:t xml:space="preserve">, - говорит </w:t>
      </w:r>
      <w:proofErr w:type="spellStart"/>
      <w:r w:rsidR="00F430DE">
        <w:t>Купринов</w:t>
      </w:r>
      <w:proofErr w:type="spellEnd"/>
      <w:proofErr w:type="gramStart"/>
      <w:r>
        <w:t xml:space="preserve"> </w:t>
      </w:r>
      <w:r w:rsidR="00867A8D">
        <w:t>.</w:t>
      </w:r>
      <w:proofErr w:type="gramEnd"/>
    </w:p>
    <w:p w:rsidR="00B61154" w:rsidRDefault="00ED6D2A" w:rsidP="00B61154">
      <w:r w:rsidRPr="00ED6D2A">
        <w:t xml:space="preserve">По итогам 2015 г. доля </w:t>
      </w:r>
      <w:proofErr w:type="gramStart"/>
      <w:r w:rsidRPr="00ED6D2A">
        <w:t>кредитов,  выданных МСП под поручительства Фонда составила</w:t>
      </w:r>
      <w:proofErr w:type="gramEnd"/>
      <w:r w:rsidRPr="00ED6D2A">
        <w:t xml:space="preserve"> около 2% на рынке кредитования МСБ в Москве.  Доля дефолтов  7-8%, что почти вполовину лучше средней ситуации на рынке. </w:t>
      </w:r>
    </w:p>
    <w:p w:rsidR="007F113F" w:rsidRDefault="007F113F" w:rsidP="00DC4439">
      <w:pPr>
        <w:jc w:val="both"/>
        <w:rPr>
          <w:b/>
          <w:i/>
        </w:rPr>
      </w:pPr>
      <w:r>
        <w:rPr>
          <w:b/>
          <w:i/>
        </w:rPr>
        <w:t>______________________</w:t>
      </w:r>
    </w:p>
    <w:p w:rsidR="00304421" w:rsidRPr="007F113F" w:rsidRDefault="00CC599D" w:rsidP="00DC4439">
      <w:pPr>
        <w:jc w:val="both"/>
        <w:rPr>
          <w:b/>
          <w:i/>
        </w:rPr>
      </w:pPr>
      <w:r w:rsidRPr="007F113F">
        <w:rPr>
          <w:b/>
          <w:i/>
        </w:rPr>
        <w:t>Для информации:</w:t>
      </w:r>
    </w:p>
    <w:p w:rsidR="00304421" w:rsidRPr="007F113F" w:rsidRDefault="007F113F" w:rsidP="00DC4439">
      <w:pPr>
        <w:jc w:val="both"/>
        <w:rPr>
          <w:sz w:val="20"/>
          <w:szCs w:val="20"/>
        </w:rPr>
      </w:pPr>
      <w:r w:rsidRPr="007F113F">
        <w:rPr>
          <w:sz w:val="20"/>
          <w:szCs w:val="20"/>
        </w:rPr>
        <w:t>Фонд содействия кредитовани</w:t>
      </w:r>
      <w:r w:rsidR="00CC599D" w:rsidRPr="007F113F">
        <w:rPr>
          <w:sz w:val="20"/>
          <w:szCs w:val="20"/>
        </w:rPr>
        <w:t xml:space="preserve">ю малого бизнеса Москвы (Московский гарантийный фонд) учрежден Правительством Москвы в 2006 г. и действует под эгидой Департамента науки, промышленной политики и предпринимательства Москвы. </w:t>
      </w:r>
      <w:r w:rsidR="008170A8" w:rsidRPr="007F113F">
        <w:rPr>
          <w:sz w:val="20"/>
          <w:szCs w:val="20"/>
        </w:rPr>
        <w:t xml:space="preserve">За все годы работы Фонд заключил свыше  8,1 тысяч договоров-поручительства на сумму  более 41,6 </w:t>
      </w:r>
      <w:proofErr w:type="gramStart"/>
      <w:r w:rsidR="008170A8" w:rsidRPr="007F113F">
        <w:rPr>
          <w:sz w:val="20"/>
          <w:szCs w:val="20"/>
        </w:rPr>
        <w:t>млрд</w:t>
      </w:r>
      <w:proofErr w:type="gramEnd"/>
      <w:r w:rsidR="008170A8" w:rsidRPr="007F113F">
        <w:rPr>
          <w:sz w:val="20"/>
          <w:szCs w:val="20"/>
        </w:rPr>
        <w:t xml:space="preserve"> рублей, что позволило компаниям малого и среднего бизнеса привлечь в свои проекты 87,5 млрд рублей банковских кредитов и гарантий</w:t>
      </w:r>
      <w:r w:rsidR="00ED6D2A">
        <w:rPr>
          <w:sz w:val="20"/>
          <w:szCs w:val="20"/>
        </w:rPr>
        <w:t>.</w:t>
      </w:r>
      <w:r w:rsidR="00304421" w:rsidRPr="007F113F">
        <w:rPr>
          <w:sz w:val="20"/>
          <w:szCs w:val="20"/>
        </w:rPr>
        <w:t xml:space="preserve"> </w:t>
      </w:r>
      <w:r w:rsidR="00ED6D2A">
        <w:rPr>
          <w:sz w:val="20"/>
          <w:szCs w:val="20"/>
        </w:rPr>
        <w:t xml:space="preserve">Эффективность фонда высока: 1 рубль, вложенный государством в капитал фонда, дает 9-10 рублей финансирования МСБ. </w:t>
      </w:r>
    </w:p>
    <w:p w:rsidR="008170A8" w:rsidRDefault="00C910E6">
      <w:r>
        <w:t xml:space="preserve">Пресс-служба Фонда  </w:t>
      </w:r>
      <w:hyperlink r:id="rId9" w:history="1">
        <w:r w:rsidRPr="00FA5808">
          <w:rPr>
            <w:rStyle w:val="a6"/>
            <w:lang w:val="en-US"/>
          </w:rPr>
          <w:t>www</w:t>
        </w:r>
        <w:r w:rsidRPr="00C910E6">
          <w:rPr>
            <w:rStyle w:val="a6"/>
          </w:rPr>
          <w:t>.</w:t>
        </w:r>
        <w:proofErr w:type="spellStart"/>
        <w:r w:rsidRPr="00FA5808">
          <w:rPr>
            <w:rStyle w:val="a6"/>
            <w:lang w:val="en-US"/>
          </w:rPr>
          <w:t>mosgarantfund</w:t>
        </w:r>
        <w:proofErr w:type="spellEnd"/>
        <w:r w:rsidRPr="00C910E6">
          <w:rPr>
            <w:rStyle w:val="a6"/>
          </w:rPr>
          <w:t>.</w:t>
        </w:r>
        <w:proofErr w:type="spellStart"/>
        <w:r w:rsidRPr="00FA5808">
          <w:rPr>
            <w:rStyle w:val="a6"/>
            <w:lang w:val="en-US"/>
          </w:rPr>
          <w:t>ru</w:t>
        </w:r>
        <w:proofErr w:type="spellEnd"/>
      </w:hyperlink>
      <w:r w:rsidRPr="00C910E6">
        <w:t xml:space="preserve"> </w:t>
      </w:r>
      <w:r>
        <w:t xml:space="preserve">8 495 967 19 49 </w:t>
      </w:r>
    </w:p>
    <w:sectPr w:rsidR="008170A8" w:rsidSect="00DC443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A8"/>
    <w:rsid w:val="000128D2"/>
    <w:rsid w:val="000B4D84"/>
    <w:rsid w:val="0010324A"/>
    <w:rsid w:val="00142416"/>
    <w:rsid w:val="001C3628"/>
    <w:rsid w:val="001D7A9D"/>
    <w:rsid w:val="001E67A4"/>
    <w:rsid w:val="00304421"/>
    <w:rsid w:val="003B0290"/>
    <w:rsid w:val="003F03BE"/>
    <w:rsid w:val="00415D50"/>
    <w:rsid w:val="004366F5"/>
    <w:rsid w:val="00555AFA"/>
    <w:rsid w:val="006154DC"/>
    <w:rsid w:val="007F113F"/>
    <w:rsid w:val="00807363"/>
    <w:rsid w:val="008170A8"/>
    <w:rsid w:val="00867A8D"/>
    <w:rsid w:val="008F59D3"/>
    <w:rsid w:val="009137C1"/>
    <w:rsid w:val="00A62BF3"/>
    <w:rsid w:val="00B61154"/>
    <w:rsid w:val="00C77F6C"/>
    <w:rsid w:val="00C910E6"/>
    <w:rsid w:val="00CC599D"/>
    <w:rsid w:val="00DC4439"/>
    <w:rsid w:val="00DD5AD7"/>
    <w:rsid w:val="00E0400B"/>
    <w:rsid w:val="00ED6D2A"/>
    <w:rsid w:val="00EE1B37"/>
    <w:rsid w:val="00F4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029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91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029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9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garantfund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pv\users\trepina\Documents\&#1053;&#1086;&#1074;&#1086;&#1089;&#1090;&#1080;%20&#1060;&#1086;&#1085;&#1076;&#1072;\2016\1-6&#1084;&#1077;&#1089;2016\1_6&#1084;&#1077;&#1089;20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hpv\users\trepina\Documents\&#1053;&#1086;&#1074;&#1086;&#1089;&#1090;&#1080;%20&#1060;&#1086;&#1085;&#1076;&#1072;\2016\1-6&#1084;&#1077;&#1089;2016\1_6&#1084;&#1077;&#1089;2016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hpv\users\trepina\Documents\&#1053;&#1086;&#1074;&#1086;&#1089;&#1090;&#1080;%20&#1060;&#1086;&#1085;&#1076;&#1072;\2016\1-6&#1084;&#1077;&#1089;2016\1_6&#1084;&#1077;&#1089;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hpv\users\trepina\Documents\&#1053;&#1086;&#1074;&#1086;&#1089;&#1090;&#1080;%20&#1060;&#1086;&#1085;&#1076;&#1072;\2016\1-6&#1084;&#1077;&#1089;2016\1_6&#1084;&#1077;&#1089;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ФСКМБМ:</a:t>
            </a:r>
            <a:r>
              <a:rPr lang="ru-RU" sz="1000" baseline="0"/>
              <a:t> выданные поручительства, млн руб.</a:t>
            </a:r>
          </a:p>
          <a:p>
            <a:pPr>
              <a:defRPr sz="1000"/>
            </a:pPr>
            <a:r>
              <a:rPr lang="ru-RU" sz="1000" baseline="0"/>
              <a:t> </a:t>
            </a:r>
            <a:endParaRPr lang="ru-RU" sz="1000"/>
          </a:p>
        </c:rich>
      </c:tx>
      <c:layout>
        <c:manualLayout>
          <c:xMode val="edge"/>
          <c:yMode val="edge"/>
          <c:x val="0.13132473024205307"/>
          <c:y val="4.613488531324888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2192282594509941"/>
          <c:y val="3.0065959146411046E-2"/>
          <c:w val="0.4970676179289743"/>
          <c:h val="0.868500741755106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TDSheet!$B$28</c:f>
              <c:strCache>
                <c:ptCount val="1"/>
                <c:pt idx="0">
                  <c:v>1 кв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numRef>
              <c:f>(TDSheet!$B$27,TDSheet!$B$32)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(TDSheet!$C$28,TDSheet!$C$33)</c:f>
              <c:numCache>
                <c:formatCode>0.0,,</c:formatCode>
                <c:ptCount val="2"/>
                <c:pt idx="0">
                  <c:v>436179628.47000003</c:v>
                </c:pt>
                <c:pt idx="1">
                  <c:v>635192420.13</c:v>
                </c:pt>
              </c:numCache>
            </c:numRef>
          </c:val>
        </c:ser>
        <c:ser>
          <c:idx val="1"/>
          <c:order val="1"/>
          <c:tx>
            <c:strRef>
              <c:f>TDSheet!$B$29</c:f>
              <c:strCache>
                <c:ptCount val="1"/>
                <c:pt idx="0">
                  <c:v>2 кв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numRef>
              <c:f>(TDSheet!$B$27,TDSheet!$B$32)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(TDSheet!$C$29,TDSheet!$C$34)</c:f>
              <c:numCache>
                <c:formatCode>0.0,,</c:formatCode>
                <c:ptCount val="2"/>
                <c:pt idx="0">
                  <c:v>691958096.17999995</c:v>
                </c:pt>
                <c:pt idx="1">
                  <c:v>710804807.22000003</c:v>
                </c:pt>
              </c:numCache>
            </c:numRef>
          </c:val>
        </c:ser>
        <c:ser>
          <c:idx val="2"/>
          <c:order val="2"/>
          <c:tx>
            <c:strRef>
              <c:f>TDSheet!$B$35</c:f>
              <c:strCache>
                <c:ptCount val="1"/>
                <c:pt idx="0">
                  <c:v>3 кв 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delete val="1"/>
            </c:dLbl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(TDSheet!$B$27,TDSheet!$B$32)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(TDSheet!$C$30,TDSheet!$C$35)</c:f>
              <c:numCache>
                <c:formatCode>0.0,,</c:formatCode>
                <c:ptCount val="2"/>
                <c:pt idx="0">
                  <c:v>1103434219.8699999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TDSheet!$B$36</c:f>
              <c:strCache>
                <c:ptCount val="1"/>
                <c:pt idx="0">
                  <c:v>4 кв </c:v>
                </c:pt>
              </c:strCache>
            </c:strRef>
          </c:tx>
          <c:invertIfNegative val="0"/>
          <c:dLbls>
            <c:dLbl>
              <c:idx val="1"/>
              <c:delete val="1"/>
            </c:dLbl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(TDSheet!$B$27,TDSheet!$B$32)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(TDSheet!$C$31,TDSheet!$C$36)</c:f>
              <c:numCache>
                <c:formatCode>0.0,,</c:formatCode>
                <c:ptCount val="2"/>
                <c:pt idx="0">
                  <c:v>1030575305.0599999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100"/>
        <c:axId val="306014720"/>
        <c:axId val="220202112"/>
      </c:barChart>
      <c:catAx>
        <c:axId val="30601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20202112"/>
        <c:crosses val="autoZero"/>
        <c:auto val="1"/>
        <c:lblAlgn val="ctr"/>
        <c:lblOffset val="100"/>
        <c:noMultiLvlLbl val="0"/>
      </c:catAx>
      <c:valAx>
        <c:axId val="220202112"/>
        <c:scaling>
          <c:orientation val="minMax"/>
        </c:scaling>
        <c:delete val="1"/>
        <c:axPos val="l"/>
        <c:numFmt formatCode="0.0,," sourceLinked="1"/>
        <c:majorTickMark val="out"/>
        <c:minorTickMark val="none"/>
        <c:tickLblPos val="nextTo"/>
        <c:crossAx val="306014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ФСКМБМ: структура поручительств по целям финансирования, 2016(</a:t>
            </a:r>
            <a:r>
              <a:rPr lang="en-US" sz="1000"/>
              <a:t>I-VI)</a:t>
            </a:r>
            <a:endParaRPr lang="ru-RU" sz="1000"/>
          </a:p>
        </c:rich>
      </c:tx>
      <c:layout>
        <c:manualLayout>
          <c:xMode val="edge"/>
          <c:yMode val="edge"/>
          <c:x val="9.0840332458442696E-2"/>
          <c:y val="1.388888888888888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333611028996804"/>
          <c:y val="0.13587039030193168"/>
          <c:w val="0.81762202932824524"/>
          <c:h val="0.86173832587473331"/>
        </c:manualLayout>
      </c:layout>
      <c:doughnutChart>
        <c:varyColors val="1"/>
        <c:ser>
          <c:idx val="0"/>
          <c:order val="0"/>
          <c:explosion val="3"/>
          <c:dLbls>
            <c:dLbl>
              <c:idx val="1"/>
              <c:numFmt formatCode="General" sourceLinked="0"/>
              <c:spPr>
                <a:solidFill>
                  <a:schemeClr val="bg1">
                    <a:alpha val="68000"/>
                  </a:schemeClr>
                </a:solidFill>
                <a:ln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 sz="800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General" sourceLinked="0"/>
            <c:spPr>
              <a:solidFill>
                <a:schemeClr val="bg1">
                  <a:alpha val="68000"/>
                </a:schemeClr>
              </a:solidFill>
              <a:ln>
                <a:solidFill>
                  <a:srgbClr val="00B050"/>
                </a:solidFill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(TDSheet!$A$89,TDSheet!$A$90,TDSheet!$A$99)</c:f>
              <c:strCache>
                <c:ptCount val="3"/>
                <c:pt idx="0">
                  <c:v>Пополнение оборотных средств</c:v>
                </c:pt>
                <c:pt idx="1">
                  <c:v>Госконтракты 44 и 223ФЗ</c:v>
                </c:pt>
                <c:pt idx="2">
                  <c:v>Прочее </c:v>
                </c:pt>
              </c:strCache>
            </c:strRef>
          </c:cat>
          <c:val>
            <c:numRef>
              <c:f>(TDSheet!$B$89,TDSheet!$B$90,TDSheet!$B$99)</c:f>
              <c:numCache>
                <c:formatCode>#,##0.00</c:formatCode>
                <c:ptCount val="3"/>
                <c:pt idx="0">
                  <c:v>822171220</c:v>
                </c:pt>
                <c:pt idx="1">
                  <c:v>357160899.35000002</c:v>
                </c:pt>
                <c:pt idx="2">
                  <c:v>166665108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00"/>
            </a:pPr>
            <a:r>
              <a:rPr lang="ru-RU" sz="1000"/>
              <a:t>ФСКМБМ: отраслевая структура поручительств, 2016, </a:t>
            </a:r>
            <a:r>
              <a:rPr lang="en-US" sz="1000"/>
              <a:t>I-VI</a:t>
            </a:r>
            <a:endParaRPr lang="ru-RU" sz="1000"/>
          </a:p>
        </c:rich>
      </c:tx>
      <c:layout>
        <c:manualLayout>
          <c:xMode val="edge"/>
          <c:yMode val="edge"/>
          <c:x val="0.19112468068796817"/>
          <c:y val="1.41712865928842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419005612667733"/>
          <c:y val="0.1367674216627271"/>
          <c:w val="0.77356019454037461"/>
          <c:h val="0.86030570552364016"/>
        </c:manualLayout>
      </c:layout>
      <c:doughnutChart>
        <c:varyColors val="1"/>
        <c:ser>
          <c:idx val="0"/>
          <c:order val="0"/>
          <c:explosion val="3"/>
          <c:dLbls>
            <c:dLbl>
              <c:idx val="1"/>
              <c:layout>
                <c:manualLayout>
                  <c:x val="7.2222222222222215E-2"/>
                  <c:y val="5.0925925925925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3888888888888912E-2"/>
                  <c:y val="2.31481481481481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solidFill>
                <a:schemeClr val="bg1">
                  <a:alpha val="50000"/>
                </a:schemeClr>
              </a:solidFill>
              <a:ln>
                <a:solidFill>
                  <a:srgbClr val="C00000"/>
                </a:solidFill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(TDSheet!$A$111,TDSheet!$A$116,TDSheet!$A$118,TDSheet!$A$121:$A$122)</c:f>
              <c:strCache>
                <c:ptCount val="5"/>
                <c:pt idx="0">
                  <c:v>Торговля </c:v>
                </c:pt>
                <c:pt idx="1">
                  <c:v>Строительство</c:v>
                </c:pt>
                <c:pt idx="2">
                  <c:v>Инновации</c:v>
                </c:pt>
                <c:pt idx="3">
                  <c:v>Производство </c:v>
                </c:pt>
                <c:pt idx="4">
                  <c:v>Прочие</c:v>
                </c:pt>
              </c:strCache>
            </c:strRef>
          </c:cat>
          <c:val>
            <c:numRef>
              <c:f>(TDSheet!$B$111,TDSheet!$B$116,TDSheet!$B$118,TDSheet!$B$121:$B$122)</c:f>
              <c:numCache>
                <c:formatCode>#,##0.00</c:formatCode>
                <c:ptCount val="5"/>
                <c:pt idx="0">
                  <c:v>643773500.76999998</c:v>
                </c:pt>
                <c:pt idx="1">
                  <c:v>117681726.13</c:v>
                </c:pt>
                <c:pt idx="2">
                  <c:v>28700000</c:v>
                </c:pt>
                <c:pt idx="3">
                  <c:v>252399832.21000001</c:v>
                </c:pt>
                <c:pt idx="4">
                  <c:v>267019650.78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0"/>
        <c:holeSize val="68"/>
      </c:doughnut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TOP10</a:t>
            </a:r>
            <a:r>
              <a:rPr lang="ru-RU" sz="1000"/>
              <a:t> Банки-партнеры ФСКМБМ, 2016, </a:t>
            </a:r>
            <a:r>
              <a:rPr lang="en-US" sz="1000"/>
              <a:t>I-VI</a:t>
            </a:r>
            <a:endParaRPr lang="ru-RU" sz="10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5763495505478445"/>
          <c:y val="0.14615404847055555"/>
          <c:w val="0.66247339432680319"/>
          <c:h val="0.69101259936463"/>
        </c:manualLayout>
      </c:layout>
      <c:barChart>
        <c:barDir val="bar"/>
        <c:grouping val="clustered"/>
        <c:varyColors val="0"/>
        <c:ser>
          <c:idx val="0"/>
          <c:order val="0"/>
          <c:tx>
            <c:v>Поручительства</c:v>
          </c:tx>
          <c:spPr>
            <a:solidFill>
              <a:srgbClr val="002060"/>
            </a:solidFill>
          </c:spPr>
          <c:invertIfNegative val="0"/>
          <c:dLbls>
            <c:numFmt formatCode="#,##0.0" sourceLinked="0"/>
            <c:txPr>
              <a:bodyPr/>
              <a:lstStyle/>
              <a:p>
                <a:pPr>
                  <a:defRPr sz="80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TDSheet!$A$152:$A$161</c:f>
              <c:strCache>
                <c:ptCount val="10"/>
                <c:pt idx="0">
                  <c:v>Промсвязьбанк</c:v>
                </c:pt>
                <c:pt idx="1">
                  <c:v>МДМ Банк</c:v>
                </c:pt>
                <c:pt idx="2">
                  <c:v>МИнБ</c:v>
                </c:pt>
                <c:pt idx="3">
                  <c:v>Кузнецкий мост</c:v>
                </c:pt>
                <c:pt idx="4">
                  <c:v>Банк Возрождение</c:v>
                </c:pt>
                <c:pt idx="5">
                  <c:v>ВТБ-Банк Москвы</c:v>
                </c:pt>
                <c:pt idx="6">
                  <c:v>ТРАНСКАПИТАЛБАНК</c:v>
                </c:pt>
                <c:pt idx="7">
                  <c:v>Альфа-Банк</c:v>
                </c:pt>
                <c:pt idx="8">
                  <c:v>Держава</c:v>
                </c:pt>
                <c:pt idx="9">
                  <c:v>Сбербанк</c:v>
                </c:pt>
              </c:strCache>
            </c:strRef>
          </c:cat>
          <c:val>
            <c:numRef>
              <c:f>TDSheet!$B$152:$B$161</c:f>
              <c:numCache>
                <c:formatCode>#,##0.00</c:formatCode>
                <c:ptCount val="10"/>
                <c:pt idx="0">
                  <c:v>39587106.5</c:v>
                </c:pt>
                <c:pt idx="1">
                  <c:v>42800000</c:v>
                </c:pt>
                <c:pt idx="2">
                  <c:v>47150000</c:v>
                </c:pt>
                <c:pt idx="3">
                  <c:v>53000000</c:v>
                </c:pt>
                <c:pt idx="4">
                  <c:v>68245992.230000004</c:v>
                </c:pt>
                <c:pt idx="5">
                  <c:v>98374489</c:v>
                </c:pt>
                <c:pt idx="6">
                  <c:v>98712270.170000002</c:v>
                </c:pt>
                <c:pt idx="7">
                  <c:v>131500000</c:v>
                </c:pt>
                <c:pt idx="8">
                  <c:v>161465157.77000001</c:v>
                </c:pt>
                <c:pt idx="9">
                  <c:v>340058849.72000003</c:v>
                </c:pt>
              </c:numCache>
            </c:numRef>
          </c:val>
        </c:ser>
        <c:ser>
          <c:idx val="1"/>
          <c:order val="1"/>
          <c:tx>
            <c:v>Финансирование МСП</c:v>
          </c:tx>
          <c:spPr>
            <a:solidFill>
              <a:srgbClr val="C00000"/>
            </a:solidFill>
          </c:spPr>
          <c:invertIfNegative val="0"/>
          <c:dLbls>
            <c:numFmt formatCode="#,##0.0" sourceLinked="0"/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TDSheet!$A$152:$A$161</c:f>
              <c:strCache>
                <c:ptCount val="10"/>
                <c:pt idx="0">
                  <c:v>Промсвязьбанк</c:v>
                </c:pt>
                <c:pt idx="1">
                  <c:v>МДМ Банк</c:v>
                </c:pt>
                <c:pt idx="2">
                  <c:v>МИнБ</c:v>
                </c:pt>
                <c:pt idx="3">
                  <c:v>Кузнецкий мост</c:v>
                </c:pt>
                <c:pt idx="4">
                  <c:v>Банк Возрождение</c:v>
                </c:pt>
                <c:pt idx="5">
                  <c:v>ВТБ-Банк Москвы</c:v>
                </c:pt>
                <c:pt idx="6">
                  <c:v>ТРАНСКАПИТАЛБАНК</c:v>
                </c:pt>
                <c:pt idx="7">
                  <c:v>Альфа-Банк</c:v>
                </c:pt>
                <c:pt idx="8">
                  <c:v>Держава</c:v>
                </c:pt>
                <c:pt idx="9">
                  <c:v>Сбербанк</c:v>
                </c:pt>
              </c:strCache>
            </c:strRef>
          </c:cat>
          <c:val>
            <c:numRef>
              <c:f>TDSheet!$D$152:$D$161</c:f>
              <c:numCache>
                <c:formatCode>#,##0.00</c:formatCode>
                <c:ptCount val="10"/>
                <c:pt idx="0">
                  <c:v>62174213</c:v>
                </c:pt>
                <c:pt idx="1">
                  <c:v>67000000</c:v>
                </c:pt>
                <c:pt idx="2">
                  <c:v>134300000</c:v>
                </c:pt>
                <c:pt idx="3">
                  <c:v>90000000</c:v>
                </c:pt>
                <c:pt idx="4">
                  <c:v>136491984.44999999</c:v>
                </c:pt>
                <c:pt idx="5">
                  <c:v>214194014.47</c:v>
                </c:pt>
                <c:pt idx="6">
                  <c:v>187018764.11000001</c:v>
                </c:pt>
                <c:pt idx="7">
                  <c:v>283000000</c:v>
                </c:pt>
                <c:pt idx="8">
                  <c:v>261841853.87</c:v>
                </c:pt>
                <c:pt idx="9">
                  <c:v>734453325.78999996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755392"/>
        <c:axId val="231943552"/>
      </c:barChart>
      <c:catAx>
        <c:axId val="30975539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1943552"/>
        <c:crosses val="autoZero"/>
        <c:auto val="1"/>
        <c:lblAlgn val="ctr"/>
        <c:lblOffset val="100"/>
        <c:noMultiLvlLbl val="0"/>
      </c:catAx>
      <c:valAx>
        <c:axId val="231943552"/>
        <c:scaling>
          <c:orientation val="minMax"/>
        </c:scaling>
        <c:delete val="0"/>
        <c:axPos val="b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09755392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0.78946160227380902"/>
                <c:y val="0.7290292767458123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ru-RU"/>
                    <a:t>млн руб.</a:t>
                  </a:r>
                </a:p>
              </c:rich>
            </c:tx>
          </c:dispUnitsLbl>
        </c:dispUnits>
      </c:valAx>
    </c:plotArea>
    <c:legend>
      <c:legendPos val="r"/>
      <c:layout>
        <c:manualLayout>
          <c:xMode val="edge"/>
          <c:yMode val="edge"/>
          <c:x val="0.54807066215168698"/>
          <c:y val="0.53942581501636622"/>
          <c:w val="0.41851600299587782"/>
          <c:h val="0.1152022654076337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0.3415</cdr:x>
      <cdr:y>0.48895</cdr:y>
    </cdr:from>
    <cdr:to>
      <cdr:x>0.59727</cdr:x>
      <cdr:y>0.64115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3071" y="973363"/>
          <a:ext cx="713804" cy="3029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en-US" sz="1000" b="1">
              <a:solidFill>
                <a:srgbClr val="C00000"/>
              </a:solidFill>
            </a:rPr>
            <a:t>2016(I-VI)</a:t>
          </a:r>
          <a:endParaRPr lang="ru-RU" sz="1000" b="1">
            <a:solidFill>
              <a:srgbClr val="C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0.34072</cdr:x>
      <cdr:y>0.47751</cdr:y>
    </cdr:from>
    <cdr:to>
      <cdr:x>0.68144</cdr:x>
      <cdr:y>0.65311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18761" y="1283806"/>
          <a:ext cx="1018761" cy="4721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solidFill>
                <a:srgbClr val="C00000"/>
              </a:solidFill>
            </a:rPr>
            <a:t>2016, </a:t>
          </a:r>
          <a:r>
            <a:rPr lang="en-US" sz="1000" b="1">
              <a:solidFill>
                <a:srgbClr val="C00000"/>
              </a:solidFill>
            </a:rPr>
            <a:t>I-VI</a:t>
          </a:r>
          <a:endParaRPr lang="ru-RU" sz="1000" b="1">
            <a:solidFill>
              <a:srgbClr val="C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Татьяна  Анатольевна</dc:creator>
  <cp:lastModifiedBy>Репина Татьяна  Анатольевна</cp:lastModifiedBy>
  <cp:revision>6</cp:revision>
  <cp:lastPrinted>2016-07-01T12:50:00Z</cp:lastPrinted>
  <dcterms:created xsi:type="dcterms:W3CDTF">2016-07-01T09:24:00Z</dcterms:created>
  <dcterms:modified xsi:type="dcterms:W3CDTF">2016-07-07T09:03:00Z</dcterms:modified>
</cp:coreProperties>
</file>